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coverage data set of Yimeng Mountain and Taishan Mountain National Key Management Area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10.12072/ncdc.hhstbc.db2532.2022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11738.11.ncdc.HHSTBC.db2532.2022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of vegetation cover statistical table of Yimeng Mountain and Taishan Mountain National key soil erosion control area in 2019 includes land use statistical table of Licheng District, Changqing District, Taishan District, Daiyue district, Xintai City, Laicheng district and Gangcheng District in Shandong Province in 2019, which is processed based on satellite remote sensing image with spatial resolution of 2M and saved in xlsx format, The data are named in the form of "key management area + year + statistical table of forest and grass vegetation coverage"“ ×× Key governance areas ×× Statistical table of annual forest and grass vegetation coverage. The vegetation coverage is divided into five levels: high coverage, medium high coverage, medium coverage, medium low coverage and low coverage.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sources are ZY-3 and Gao FEN-1 satellite images, which are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method of remote sensing estimation, the normalized vegetation index (NDVI) is used to estimate the vegetation coverage by using the pixel dichotomy model. The method is to first calculate the NDVI of each pixel using the near infrared band and red band data of multispectral images, and then use the model to calculate the vegetation coverage of the whole region. Then the land use type data from remote sensing interpretation and the vegetation coverage data from remote sensing estimation are superimposed to obtain the vegetation coverage information of each pixel. Finally, according to the classification rules, the vegetation coverage was classified, and the statistical table of forest and grass vegetation coverage was obtained.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place:Yimeng Mountain Taishan national key control area of soil erosion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size:297.7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vegetation coverage of forest and grass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Place:Yicheng District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manager:Monitoring Center for ecological environment of soil and water conservation in the Yellow River Basin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Vegetation coverage data set of Yimeng Mountain and Taishan Mountain National Key Management Area in 2019. National Cryosphere Desert Data Center(http://www.ncdc.ac.cn), 2022. https://cstr.cn/CSTR:11738.11.ncdc.HHSTBC.db2532.2022.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