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甘肃省风能图谱数据集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Province Wind Energy Atlas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11738.11.NCDC.GSEER.DB4133.2023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风能是地球表面大量空气流动所产生的动能。由于地面各处受太阳辐照后气温变化不同和空气中水蒸气的含量不同，因而引起各地气压的差异，在水平方向高压空气向低压地区流动，即形成风。风能资源决定于风能密度和可利用的风能年累积小时数。本数据集主要服务于风电开发的勘探和初步风能资源评估阶段，即还未在现场建立气象观测站的阶段。它也是帮助政府充分了解各地风能资源潜力的有力工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  全球风能图谱网站https://globalwindatlas.info/zh/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  该数据首先使用WRF中尺度模式将2008-2017年ERA5再分析数据动态降尺度到3公里分辨率。然后使用DTU的概化方法对WRF结果进行概化，然后使用WAsP模型将其缩小到最终的250m分辨率。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2008/01/01-2017/12/12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tif,csv,pdf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风速, 风向玫瑰图, 风频, 风力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甘肃省风能图谱数据集. 国家冰川冻土沙漠科学数据中心(http://www.ncdc.ac.cn), 2023. https://cstr.cn/CSTR:11738.11.NCDC.GSEER.DB4133.2023.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