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西北内陆区各区域地表调控系数数据集（1979-2017年）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regional surface regulation coefficients in northwest inland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10.12072/ncdc.XBSAQ.db2292.2022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11738.11.ncdc.XBSAQ.db2292.2022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 http://data.cma.cn/data/detail/dataCode/SURF_CLI_CHN_PRE_MON_GRID_0.5.html   （3）收集内陆区各分区控制站点径流值及水库库容值。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  （1）下载国家气象信息中心中国地面降水月值格点数据,将空间分辨率统一为0.75°×0.75°。   （2）下载ERA-Interim径流数据，将空间分辨率统一为0.75°×0.75°。   （3）基于ERA-Interim比湿数据，将空间分辨率统一为0.75°×0.75°，利用整层积分公式计算得到可降水量矩阵。   （4）计算每个格点的降水与可降水的比值，即可得到降水转化系数。   （5）计算每个格点的降水与径流的比值，即可得到径流系数。   （6）计算每个格点的工程库容与河段可利用水资源量之比，即调控系数。   （7）最后进行季平均及年平均，得到区域内各级季节数据。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地表调控系数, 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西北内陆区各区域地表调控系数数据集（1979-2017年）. 国家冰川冻土沙漠科学数据中心(http://www.ncdc.ac.cn), 2022. https://cstr.cn/CSTR:11738.11.ncdc.XBSAQ.db2292.2022.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