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沙米黄酮代谢数据（2020年）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Sarmiflavone metabolism data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10.12072/ncdc.ZDYF.db1681.2022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11738.11.ncdc.ZDYF.db1681.2022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  沙米样品55℃烘箱干燥24小时，粉碎，精确称量0.05 g粉末置2.0 mL Eppendorf管中，加入1.5 mL甲醇，称重，过夜。40℃下超声提取30 min（SB-800 DTD超声仪，宁波新芝生物科技股份有限公司；功率：100 W；频率：40 kHz）；放冷，加入甲醇补充至初始重量。将混合物于12000×g离心10 min，经0.22 μm过滤器（PALL, MI, USA）过滤，取上清液作为供试品溶液，进行UPLC-QQQ-MS分析。在配备ACQUITY UPLC BEH C18色谱柱（100 mm×2.1 mm，1.8 μm）的色谱分离采用ACQUITY UPLCTM I-Class系统（Waters，Milford，USA）。色谱柱为ACQUITY UPLC BEH C18色谱柱（100 mm×2.1 mm，1.8 μm），流动相为0.1%甲酸水溶液（A）和0.1%甲酸乙腈溶液（B）；洗脱梯度：0 min，5%B；1 min，5%B；3.5 min，30%B；5.5 min，60%B. 流速0.50 mL·min−1，柱温40℃，进样量1.0 μL.质谱分析采用AB Sciex API 6500三重四极杆质谱仪（Applied Biosystems，Toronto，Canada）。电喷雾离子源（ESI），负离子模式；定量分析采用多反应监测模式（MRM），离子源温度550℃，喷雾电压-4500V。各分析成分的保留时间（tR）、定量离子对、去簇电压（declustering potential, DP）、碰撞能量（collision energy, CE）和出口电压（cell exit potential, CXP）值。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  沙米样品55℃烘箱干燥24小时，粉碎，精确称量0.05 g粉末置2.0 mL Eppendorf管中，加入1.5 mL甲醇，称重，过夜。40℃下超声提取30 min（SB-800 DTD超声仪，宁波新芝生物科技股份有限公司；功率：100 W；频率：40 kHz）；放冷，加入甲醇补充至初始重量。将混合物于12000×g离心10 min，经0.22 μm过滤器（PALL, MI, USA）过滤，取上清液作为供试品溶液，进行UPLC-QQQ-MS分析。在配备ACQUITY UPLC BEH C18色谱柱（100 mm×2.1 mm，1.8 μm）的色谱分离采用ACQUITY UPLCTM I-Class系统（Waters，Milford，USA）。色谱柱为ACQUITY UPLC BEH C18色谱柱（100 mm×2.1 mm，1.8 μm），流动相为0.1%甲酸水溶液（A）和0.1%甲酸乙腈溶液（B）；洗脱梯度：0 min，5%B；1 min，5%B；3.5 min，30%B；5.5 min，60%B. 流速0.50 mL·min−1，柱温40℃，进样量1.0 μL.质谱分析采用AB Sciex API 6500三重四极杆质谱仪（Applied Biosystems，Toronto，Canada）。电喷雾离子源（ESI），负离子模式；定量分析采用多反应监测模式（MRM），离子源温度550℃，喷雾电压-4500V。各分析成分的保留时间（tR）、定量离子对、去簇电压（declustering potential, DP）、碰撞能量（collision energy, CE）和出口电压（cell exit potential, CXP）值。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  实验室沙米样品经过干燥、粉碎、称重、过夜、超声提取等一系列处理后；进行UPLC-QQQ-MS分析、质谱分析、定量分析。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沙米, 色谱柱, 三重四极杆质谱仪, 半干旱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马小飞,  尹晓月,  钱朝菊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马小飞,尹晓月,钱朝菊. 沙米黄酮代谢数据（2020年）. 国家冰川冻土沙漠科学数据中心(http://www.ncdc.ac.cn), 2022. https://cstr.cn/CSTR:11738.11.ncdc.ZDYF.db1681.2022.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