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泾河流域MODIS MOD13A2 增强型植被指数（EVI）数据集（2000-2021年）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MODIS mod13a2 enhanced vegetation index (EVI) data set of Jinghe River Basin (2000-2021)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10.12072/ncdc.JRiver.db1967.2022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11738.11.ncdc.JRiver.db1967.2022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增强型植被指数(EVI)是在归一化植被指数(NDVI)改善出来的，根据大气校正所包含的影像因子、大气分子、气溶胶、薄云、水汽和臭氧等因素进行全面的大气校正。EVI大气校正分三步，第一步是去云处理。第二步是大气校正处理，校正内容除了NDVI已有的瑞利散射和臭氧外，还包括大气分子、气溶胶、水汽等。第三步是进一步处理残留气溶胶影响，方法是借助蓝光和红光通过气溶胶的差异。由于输入的NIR、Red、Blue都经过比较严格的大气校正，所以在设计植被指数算式时，无须为了消除乘法性噪音而采用基于NIR/Red比值的植被指数，因此也就解决了由此引起的植被指数容易饱和以及与实际植被覆盖缺乏线性关系的问题。   EVI对冠层结构变化包括叶面积指数（LAI），冠层类型、植被相和冠层结构更加敏感。   基于MODIS MOD13A2.v006增强型植被指数EVI数据集，将覆盖泾河流域的分幅影像，利用MRT工具及Python语言代码，进行投影转换、裁剪处理，生成2000-2021年泾河流域MODIS MOD13A2 EVI数据。本数据集空间分辨率为1km，时间分辨率为16天。</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  本数据集的数据源为MOD13A2.v006版本数据，数据来源于NASA官网(https://ladsweb.modaps.eosdis.nasa.gov)。</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  （1）试运行MRT工具，生成MOD13A2 EVI投影转换的prm文件，空间分辨率为1000 m；   （2）利用MATLAB 语言程序生成调用MRT工具的批处理文件，并运行；   （3）利用泾河流域矢量边界，采用Python批量裁剪，最后用GeoTIFF格式输出保存。</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  本数据集与源数据集MODIS MOD13A2.v006质量一致。数据有效范围-2000 至 10000，缩放因子为0.0001，填充值为-3000。</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泾河流域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283.8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16天</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增强型植被指数, 冠层结构, 泾河流域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2000 2001 2002 2003 2004 2005 2006 2007 2008 2009 2010 2011 2012 2013 2014 2015 2016 2017 2018 2019 2020 2021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泾河流域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106.19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108.87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34.65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张耀南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张耀南. 泾河流域MODIS MOD13A2 增强型植被指数（EVI）数据集（2000-2021年）. 国家冰川冻土沙漠科学数据中心(http://www.ncdc.ac.cn), 2022. https://cstr.cn/CSTR:11738.11.ncdc.JRiver.db1967.2022.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