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2012-2013年黑河流域荒漠植物水汽吸收利用数据集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Moisture absorption and utilization of desert plant in Heihe River Basin data sets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10.12072/ncdc.westdc.db3866.2023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2012-2013年黑河流域荒漠植物水汽吸收利用数据集，所有数据均为原始数据，内含大气水汽及土壤同位素特征数据、基因表达数据集、气象数据、水势数据集、土壤含水量数据、荧光光合数据集、荧光染色图像集、植物茎流数据集、植物组织氢氧同位素特征数据、柽柳离体蒸腾实验；包括柽柳、梭梭、霸王、白刺、红砂五种荒漠植物野外和室内控制实验相关的气象、土壤含水量，植物茎干液流、植物组织水势、大气及加湿水汽同位素特征、荧光示踪图像、植物光合荧光、基因表达调控等方面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原始观测数据，未经人工处理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Excel，BMP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植物茎干液流, 水势, 大气水汽, 基因表达, 同位素示踪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内蒙古,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肖洪浪,  赵亮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肖洪浪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肖洪浪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91125025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“黑河流域生态-水文过程集成研究”重大研究计划：荒漠植物大气水汽利用机制及适应机理研究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肖洪浪,赵亮. 2012-2013年黑河流域荒漠植物水汽吸收利用数据集. 国家冰川冻土沙漠科学数据中心(http://www.ncdc.ac.cn), 2021. https://cstr.cn/CSTR:11738.11.ncdc.Westdc.2021.829.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