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巢湖流域、滁河流域、里下河地区、长三角示范区不透水率数据集（2000-2020年）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sets on imperviousness in the Chaohu Lake Basin, Chu River Basin, Lishang River Region, and Yangtze River Delta Demonstration Area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于巢湖流域、滁河流域、里下河地区及长三角示范区在2000年、2010年和2020年三个关键时间节点的地表不透水率变化，采用12.5米空间分辨率的高精度遥感技术，对示范区内的地表不透水性质进行了详尽的动态监测与细致解译。   数据集不仅提供了各流域及示范区在不同时段的平均不透水率统计结果，更通过时间序列的对比分析，深刻揭示了下垫面（即地表覆盖物）不透水性质的时空演变特征。这些特征信息对于理解流域内水文循环过程、评估洪涝灾害风险及蓄泄能力至关重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  土壤含水量数据为动态栅格数据，主要用于确定前期土湿，数据来自于全国不透水率数据。下载地址：https://data-starcloud.pcl.ac.cn/zh/resource/13。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  （1）使用ArcGIS的“栅格计算器”或“区域分析”工具，根据解译结果计算各时段的不透水率栅格。   （2）利用“按掩膜提取”功能，输入示范区矢量面文件，从不透水率栅格中提取示范区的平均不透水率。   （3）对比不同时段的不透水率栅格和统计数据，分析下垫面的时空变化特征，包括不透水面积的增加、减少和空间分布变化。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  本数据集专注于巢湖流域、滁河流域、里下河地区以及长三角示范区的不透水率情况，着重分析了不透水面积比例及其空间分布对流域洪涝过程的重要影响。   在数据加工方面，采用了高精度的卫星遥感影像作为数据源，结合专业GIS软件和算法，对不透水表面进行了精确的识别和分类。通过运用先进的图像处理技术和空间分析算法，准确地计算了不透水面积比例，并绘制了详细的空间分布图。对数据进行了严格的误差分析和校正，以确保数据的精度满足高标准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不透水率, 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巢湖流域、滁河流域、里下河地区、长三角示范区不透水率数据集（2000-2020年）. 国家冰川冻土沙漠科学数据中心(http://www.ncdc.ac.cn), 2025. https://cstr.cn/CSTR:11738.11.NCDC.NHRI.DB6776.2025.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