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黑河生态水文遥感试验：黑河流域1km/5天合成植被指数（NDVI/EVI）数据集（2011年-2014年）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index (NDVI / EVI)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2011-2014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三级数据为受薄云污染的观测，不用于计算。   在黑河中游农田、森林区域的验证结果表明，联合多时相、多角度观测数据的NDVI/EVI合成结果与地面实测数据具有较好的一致性（RMSE=0.105）。与MODIS MOD13A2产品的时间序列对比分析，充分显示了时间分辨率从16天提高到5天时，稳定的高精度的植被指数对植被生长细节的细致描述。   总之，黑河流域1km/5day合成植被指数（NDVI/EVI）数据集综合利用多时相、多角度观测数据以提高参数产品的估算精度、时间分辨率等，更好的服务于遥感数据产品的应用。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2011-2014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 黑河生态水文遥感试验：黑河流域1km/5天合成植被指数（NDVI/EVI）数据集（2011年-2014年）. 国家冰川冻土沙漠科学数据中心(http://www.ncdc.ac.cn), 2021. https://cstr.cn/CSTR:11738.11.ncdc.NIEER.2021.36.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