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optimal conditions for acid mine water effluent from high efficiency magnetic separation device experiment (may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the laboratory water distribution as the research object, the magnetic separation device is used to explore the optimal experimental conditions to ensure that the final effluent turbidity meets the requirements. The optimized experimental factors include pulverized coal particle size ratio, PAC dosage, PAM dosage, PAM type, magnetic particle dosage, magnetic particle type, magnetic particle size, SS initial concentration, drum speed, water inflow, etc. The data set contains 163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 Place the prepared simulated wastewater in the raw water tank, turn on the peristaltic pump to pump the raw water, PAC and magnetic powder into the magnetic flocculation tank, and stir it quickly at 160 R / min for 5 min, then turn on the valve of the magnetic flocculation tank to feed water into the reaction tank, add PAM, stir it slowly at 80 R / min for 3 min, and then enter the super magnetic separator through the spring flowmeter to separate the magnetic floc from water, and then the magnetic floc enters the high-speed shear and is sheared into magnetic powder and pulverized coal, Finally, the magnetic powder enters the super magnetic recovery machine for recovery. Take out the outlet water, measure its turbidity and calculate the removal rate, screen out the optimal coagulant, coagulant aid, magnetic powder and the optimal dosage, further change the influencing factors such as the initial concentration of SS, drum speed, pulverized coal particle size and inlet flow, determine the optimal hydraulic conditions for magnetic separation treatment of simulated high turbidity mine water wastewater, and finally determine the recovery rate of magnetic powder under the optimal conditions.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time:2021/05/01-2021/05/31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Theme:Mine water treatment, high efficiency magnetic separation device, turbidity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optimal conditions for acid mine water effluent from high efficiency magnetic separation device experiment (may 2021). National Cryosphere Desert Data Center(http://www.ncdc.ac.cn), 2022. https://cstr.cn/CSTR:11738.11.ncdc.UTCMW.db2124.2022.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