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泾河流域MCD15A2叶面积指数LAI（2002-2021年）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Mcd15a2 leaf area index LAI in Jinghe River Basin (2002-2021)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  植被叶面积指数（leaf area index,LAI）也称叶面积系数，可表征植被对光线的吸收和拦截以及植被生长状况，通常被定义为单位面积内所含的植被叶片表面积之和。因该指数可反映研究区内植被叶片的疏密程度及植被的生长状况，所以精确获取LAI显得极为重要。在LAI的获取过程中，遥感信息技术因其可实时动态有效监测植被特征且作业周期短等显著优势而被广泛应用，该技术为植被生化参数的有效研究奠定了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  数据来源于NASA官网(https://ladsweb.modaps.eosdis.nasa.gov)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  （1）试运行MRT工具，生成MCD15A2 LAI数据拼接和投影转换的prm文件,空间分辨率为500m；   （2）利用MATLAB 语言程序生成调用MRT工具的批处理文件，并运行；   （3）利用泾河流域矢量边界，采用Python批量裁剪等步骤，以tif格式存储。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泾河流域,甘肃省,陕西省,宁夏回族自治区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叶面积指数, 生态遥感, 泾河流域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泾河流域,  甘肃省,  陕西省,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泾河流域MCD15A2叶面积指数LAI（2002-2021年）. 国家冰川冻土沙漠科学数据中心(http://www.ncdc.ac.cn), 2022. https://cstr.cn/CSTR:11738.11.ncdc.JRiver.db1985.2022.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