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  该数据集包含了2016年1月1日至2016年12月31日黑河水文气象观测网中游黑河遥感站气象要素观测数据。站点位于甘肃省张掖市党寨镇东侧，下垫面是人工草地。观测点的经纬度是100.4756E,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2016.1.01-1.29由于采集器问题，很多观测要素出现较多的错误值；（2）剔除有重复记录的时刻；（3）删除了明显超出物理意义或超出仪器量程的数据；（4）数据中以红字标示的部分为有疑问的数据；（5）日期和时间的格式统一，并且日期、时间在同一列。如，时间为：2016-6-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2016/01/08-2017/01/07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黑河遥感站,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