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祁连山浅山区退耕还林数据统计（1999-2018年）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Statistics of returning farmland to forest in shallow mountainous areas of Qilian Mountain (1999-2018)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10.12072/ncdc.XBSAQ.db2209.2022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11738.11.ncdc.XBSAQ.db2209.2022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祁连山浅山区1999-2018年退耕还林面积统计数据，主要包括金昌市永昌县；武威市古浪县、凉州区、天祝县；张掖市甘州区、高台县、临泽县、民乐县、山丹县和肃南县；酒泉市阿克塞县、敦煌市、瓜州县、金塔县、肃北县、肃州区和玉门市等县市的退耕还林地、荒山造林地、封山育林地的面积数据。祁连山浅山区造林采用植苗造林，主要造林树种有青海云杉、新疆杨、沙枣、红柳、柠条等，整地方式主要有穴状整地、鱼鳞坑整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  来源于甘肃省森林和草原局。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  本数据由相关研究人员在“甘肃省森林和草原局”官方网站通过“依申请公开”栏目，填写申请信息和申请内容，提交后，由工作人员通过电子邮件方式发送方式获得。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  严格按照官方网站申请获得，数据来源可靠，数据质量良好。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祁连山浅山区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祁连山浅山区, 退耕还林, 荒山造林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1999 2000 2001 2002 2003 2004 2005 2006 2007 2008 2009 2010 2011 2012 2013 2014 2015 2016 2017 2018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祁连山浅山区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祁连山浅山区退耕还林数据统计（1999-2018年）. 国家冰川冻土沙漠科学数据中心(http://www.ncdc.ac.cn), 2022. https://cstr.cn/CSTR:11738.11.ncdc.XBSAQ.db2209.2022.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